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Dative Case Practice Sentences</w:t>
      </w:r>
    </w:p>
    <w:p>
      <w:pPr>
        <w:pStyle w:val="Body"/>
        <w:jc w:val="center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Mark the dative by underlining three times, and then translate the sentence.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Puer fabulam amicis narrat.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Pater canem filiae dat.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Hercules deae mala dat.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vir filio pecuniam mittit.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Vocabulary: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amicus, -i m.: friend</w:t>
      </w:r>
    </w:p>
    <w:p>
      <w:pPr>
        <w:pStyle w:val="Body"/>
        <w:jc w:val="left"/>
      </w:pPr>
      <w:r>
        <w:rPr>
          <w:rtl w:val="0"/>
          <w:lang w:val="en-US"/>
        </w:rPr>
        <w:t>canis, canis, m.: dog</w:t>
      </w:r>
    </w:p>
    <w:p>
      <w:pPr>
        <w:pStyle w:val="Body"/>
        <w:jc w:val="left"/>
      </w:pPr>
      <w:r>
        <w:rPr>
          <w:rtl w:val="0"/>
          <w:lang w:val="en-US"/>
        </w:rPr>
        <w:t>dea, -ae f.: goddess</w:t>
      </w:r>
    </w:p>
    <w:p>
      <w:pPr>
        <w:pStyle w:val="Body"/>
        <w:jc w:val="left"/>
      </w:pPr>
      <w:r>
        <w:rPr>
          <w:rtl w:val="0"/>
          <w:lang w:val="en-US"/>
        </w:rPr>
        <w:t>do, dare: to give</w:t>
      </w:r>
    </w:p>
    <w:p>
      <w:pPr>
        <w:pStyle w:val="Body"/>
        <w:jc w:val="left"/>
      </w:pPr>
      <w:r>
        <w:rPr>
          <w:rtl w:val="0"/>
          <w:lang w:val="en-US"/>
        </w:rPr>
        <w:t>fabula, -ae f.: story</w:t>
      </w:r>
    </w:p>
    <w:p>
      <w:pPr>
        <w:pStyle w:val="Body"/>
        <w:jc w:val="left"/>
      </w:pPr>
      <w:r>
        <w:rPr>
          <w:rtl w:val="0"/>
          <w:lang w:val="en-US"/>
        </w:rPr>
        <w:t>filia, -ae f.: daughter</w:t>
      </w:r>
    </w:p>
    <w:p>
      <w:pPr>
        <w:pStyle w:val="Body"/>
        <w:jc w:val="left"/>
      </w:pPr>
      <w:r>
        <w:rPr>
          <w:rtl w:val="0"/>
          <w:lang w:val="en-US"/>
        </w:rPr>
        <w:t>filius, -i m.: son</w:t>
      </w:r>
    </w:p>
    <w:p>
      <w:pPr>
        <w:pStyle w:val="Body"/>
        <w:jc w:val="left"/>
      </w:pPr>
      <w:r>
        <w:rPr>
          <w:rtl w:val="0"/>
          <w:lang w:val="en-US"/>
        </w:rPr>
        <w:t>Hercules, Herculis m.: Hercules</w:t>
      </w:r>
    </w:p>
    <w:p>
      <w:pPr>
        <w:pStyle w:val="Body"/>
        <w:jc w:val="left"/>
      </w:pPr>
      <w:r>
        <w:rPr>
          <w:rtl w:val="0"/>
          <w:lang w:val="en-US"/>
        </w:rPr>
        <w:t>malum, -i m.: apple</w:t>
      </w:r>
    </w:p>
    <w:p>
      <w:pPr>
        <w:pStyle w:val="Body"/>
        <w:jc w:val="left"/>
      </w:pPr>
      <w:r>
        <w:rPr>
          <w:rtl w:val="0"/>
          <w:lang w:val="en-US"/>
        </w:rPr>
        <w:t>narro, narrare: to tell</w:t>
      </w:r>
    </w:p>
    <w:p>
      <w:pPr>
        <w:pStyle w:val="Body"/>
        <w:jc w:val="left"/>
      </w:pPr>
      <w:r>
        <w:rPr>
          <w:rtl w:val="0"/>
          <w:lang w:val="en-US"/>
        </w:rPr>
        <w:t>pater, patris m.: father</w:t>
      </w:r>
    </w:p>
    <w:p>
      <w:pPr>
        <w:pStyle w:val="Body"/>
        <w:jc w:val="left"/>
      </w:pPr>
      <w:r>
        <w:rPr>
          <w:rtl w:val="0"/>
          <w:lang w:val="en-US"/>
        </w:rPr>
        <w:t>pecunia, -ae f.: money</w:t>
      </w:r>
    </w:p>
    <w:p>
      <w:pPr>
        <w:pStyle w:val="Body"/>
        <w:jc w:val="left"/>
      </w:pPr>
      <w:r>
        <w:rPr>
          <w:rtl w:val="0"/>
          <w:lang w:val="en-US"/>
        </w:rPr>
        <w:t>puer, pueri m.: boy</w:t>
      </w:r>
    </w:p>
    <w:p>
      <w:pPr>
        <w:pStyle w:val="Body"/>
        <w:jc w:val="left"/>
      </w:pPr>
      <w:r>
        <w:rPr>
          <w:rtl w:val="0"/>
          <w:lang w:val="en-US"/>
        </w:rPr>
        <w:t>vir, viri m.: man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